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and successional trajectories.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 [cote_ecological_2004;</w:t>
      </w:r>
      <w:r>
        <w:t xml:space="preserve"> </w:t>
      </w:r>
      <w:r>
        <w:t xml:space="preserve">Rooney (2001)</w:t>
      </w:r>
      <w:r>
        <w:t xml:space="preserve">;</w:t>
      </w:r>
      <w:r>
        <w:t xml:space="preserve"> </w:t>
      </w:r>
      <w:r>
        <w:t xml:space="preserve">Brown</w:t>
      </w:r>
      <w:r>
        <w:t xml:space="preserve"> </w:t>
      </w:r>
      <w:r>
        <w:rPr>
          <w:iCs/>
          <w:i/>
        </w:rPr>
        <w:t xml:space="preserve">et al.</w:t>
      </w:r>
      <w:r>
        <w:t xml:space="preserve"> </w:t>
      </w:r>
      <w:r>
        <w:t xml:space="preserve">(2000)</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XX ) species (REFS).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w:t>
      </w:r>
      <w:r>
        <w:t xml:space="preserve"> </w:t>
      </w:r>
      <w:r>
        <w:t xml:space="preserve">“</w:t>
      </w:r>
      <w:r>
        <w:t xml:space="preserve">regeneration debt</w:t>
      </w:r>
      <w:r>
        <w:t xml:space="preserve">”</w:t>
      </w:r>
      <w:r>
        <w:t xml:space="preserve">, meaning that there are insufficient juveniles of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(Nowacki &amp; Abrams, 2015; Miller &amp; McGill, 2019)</w:t>
      </w:r>
      <w:r>
        <w:t xml:space="preserve">), but even these are often not present in sufficient abundance to replace the current canopy (??).</w:t>
      </w:r>
    </w:p>
    <w:p>
      <w:pPr>
        <w:pStyle w:val="BodyText"/>
      </w:pPr>
      <w:r>
        <w:t xml:space="preserve">Understanding the combined effects of multiple nuisance species on forest ecosystem processes requires data on both the forest canopy and understory over an extended time. Here, we use 15 years of detailed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w:t>
      </w:r>
      <w:r>
        <w:t xml:space="preserve"> </w:t>
      </w:r>
      <w:r>
        <w:t xml:space="preserve">Bourg</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non-indigenous insects and pathogens and white-tailed deer (Fig. 1). The first portion we define as“Low deer, low canopy vulnerability”: A 4-ha portion of upland forest in the SE quarter of the plot (Fig. 1a),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mcgregor_tree_2021. We defined vulnerability to non-indigenous insects and pathogens based on the abundance of canopy species affected by non-indigenous pests and pathogens at the time of plot establishment (2008). The following canopy species were identified as vulnerable: ash (Fraxinus spp.), elm (Ulmus spp.), butternut (Juglans cinerea), and American chestnut (Carya dentata)</w:t>
      </w:r>
      <w:r>
        <w:t xml:space="preserve"> </w:t>
      </w:r>
      <w:r>
        <w:t xml:space="preserve">(Anderson-Teixeira</w:t>
      </w:r>
      <w:r>
        <w:t xml:space="preserve"> </w:t>
      </w:r>
      <w:r>
        <w:rPr>
          <w:iCs/>
          <w:i/>
        </w:rPr>
        <w:t xml:space="preserve">et al.</w:t>
      </w:r>
      <w:r>
        <w:t xml:space="preserve">, 2021)</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was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net change in AGB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whole-plot aboveground C stocks decreased over the 2018-2023 census interval (Figure 2) . From 2018 to 2023,ABG decreased from 145.9 to 140.9 Mg C ha</w:t>
      </w:r>
      <w:r>
        <w:rPr>
          <w:vertAlign w:val="superscript"/>
        </w:rPr>
        <w:t xml:space="preserve">-1</w:t>
      </w:r>
      <w:r>
        <w:t xml:space="preserve">. Prior to this, ABG had steadily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with high deer density and high canopy vulnerability AGB decreased significantly over the past two censuses: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77 Mg C ha</w:t>
      </w:r>
      <w:r>
        <w:rPr>
          <w:vertAlign w:val="superscript"/>
        </w:rPr>
        <w:t xml:space="preserve">-1</w:t>
      </w:r>
      <w:r>
        <w:t xml:space="preserve"> </w:t>
      </w:r>
      <w:r>
        <w:t xml:space="preserve">in 2023. Areas with low density of vulnerable canopy species experienced small losses of AGB between 2018 and 2023;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habitat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habitats differentiated by intensity of deer browsing and 2008 abundance of canopy tree species vulnerable to non-indigenous pests and pathogens.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habitat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habitats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by species at the SCBI ForestGEO plot from 2008-2023. Shown are the seven canopy taxa with highest average mortality rate in descending order and a category including all others. The census included all stems ≥ 10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seven canopy taxa with highest average mortality rate in descending order and a category including all others. The census included all stems ≥ 10cm in the most recent full census.</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5943600" cy="3962400"/>
            <wp:effectExtent b="0" l="0" r="0" t="0"/>
            <wp:docPr descr="Figure 5. Average annual recruitment (2008-2023) of canopy and understory tree species at the SCBI ForestGEO plot across habitats differentiated by intensity of deer browsing and 2008 abundance of canopy tree species vulnerable to non-indigenous pests and pathogens. Note that y-axes differ, with understory species recruitment &gt;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habitats differentiated by intensity of deer browsing and 2008 abundance of canopy tree species vulnerable to non-indigenous pests and pathogens.</w:t>
      </w:r>
      <w:r>
        <w:t xml:space="preserve"> </w:t>
      </w:r>
      <w:r>
        <w:t xml:space="preserve">Note that y-axes differ, with understory species recruitment &gt;20x that of canopy species recruitment.</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We found that the combination of decreasing biomass (driven by increasing woody mortality) and limited recruitment of canopy species in the understory is compromising the potential the carbon sink, now and into the future.</w:t>
      </w:r>
      <w:r>
        <w:t xml:space="preserve"> </w:t>
      </w:r>
      <w:r>
        <w:t xml:space="preserve">Differences in AGB were the biggest in the regions of the plot with high vulnerability to nuisance species. These regions also had the lowest amount of canopy species in the understory. Areas with low deer population had the highest amount of canopy species in the understory.</w:t>
      </w:r>
      <w:r>
        <w:t xml:space="preserve"> </w:t>
      </w:r>
      <w:r>
        <w:t xml:space="preserve">Some of the plot is increasing biomass, notably those with low proportions of vulnerable species. On net, these increases are not outpacing mortality.</w:t>
      </w:r>
      <w:r>
        <w:t xml:space="preserve"> </w:t>
      </w:r>
      <w:r>
        <w:t xml:space="preserve">Suggests that the combination of heavy deer browsing on canopy species may be exacerbated in areas with canopy openings due to pathogen-derived mortality where understory species that are resistant to deer and fast growers can take advantage, further competing with canopy species.</w:t>
      </w:r>
      <w:r>
        <w:t xml:space="preserve"> </w:t>
      </w:r>
      <w:r>
        <w:t xml:space="preserve">While Emerald Ash-borer has had a large impact on biomass loss at our site, mortality among oak species, which is not linked to a non-indigenous pest, is substantial as well. Oak species in the region are generally found in older, even aged cohorts, which contributes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Using current understory as a predictor of the future canopy is imperfect.</w:t>
      </w:r>
      <w:r>
        <w:t xml:space="preserve"> </w:t>
      </w:r>
      <w:r>
        <w:t xml:space="preserve">Some canopy species (examples) recruit in pulse events - if there is a shift in deer population and enough survival that coincides with a mast year than you could get regeneration into the canopy.</w:t>
      </w:r>
      <w:r>
        <w:t xml:space="preserve"> </w:t>
      </w:r>
      <w:r>
        <w:t xml:space="preserve">However, current recruitment levels are below a rate at which we would expect in maturing secondary forests and may be insufficient to prevent large periods without a close canopy.</w:t>
      </w:r>
      <w:r>
        <w:t xml:space="preserve"> </w:t>
      </w:r>
      <w:r>
        <w:t xml:space="preserve">Our data is from just the single site, which can make generalizability challenging. However, there is a lot of support that the drivers we identify here are representative of the region.</w:t>
      </w:r>
      <w:r>
        <w:t xml:space="preserve"> </w:t>
      </w:r>
      <w:r>
        <w:t xml:space="preserve">Mixed hardwood forests are typical of mid-Atlantic forests and deer populations are high throughout the region.</w:t>
      </w:r>
      <w:r>
        <w:t xml:space="preserve"> </w:t>
      </w:r>
      <w:r>
        <w:t xml:space="preserve">Vulnerable species (ash) are also common throughout these forests, and emerald ash borer continues to spread. Where it does spread it consistently decimates adult ash.</w:t>
      </w:r>
      <w:r>
        <w:t xml:space="preserve"> </w:t>
      </w:r>
      <w:r>
        <w:t xml:space="preserve">Our results underscore the importance of accounting for nuisance species in higher-level models and understanding of temperate forests.</w:t>
      </w:r>
      <w:r>
        <w:t xml:space="preserve"> </w:t>
      </w:r>
      <w:r>
        <w:t xml:space="preserve">Nuisance species (driven by human pressures/actions) interact with other anthropogenic changes to modify forest ecosystems.</w:t>
      </w:r>
      <w:r>
        <w:t xml:space="preserve"> </w:t>
      </w:r>
      <w:r>
        <w:t xml:space="preserve">Have the capacity to alter short-term dynamics: large carbon losses that would not be expected in models that don’t exclude it.</w:t>
      </w:r>
      <w:r>
        <w:t xml:space="preserve"> </w:t>
      </w:r>
      <w:r>
        <w:t xml:space="preserve">Longer-term have capacity to alter successional dynamics: can delay recovery from disturbances (including other disturbances) or even suppress regeneration into a closed-canopy for sustained periods.</w:t>
      </w:r>
      <w:r>
        <w:t xml:space="preserve"> </w:t>
      </w:r>
      <w:r>
        <w:t xml:space="preserve">Decrease resilience to other pressures as pests and pathogens decrease diversity through shrinking the number of possible canopy species.</w:t>
      </w:r>
      <w:r>
        <w:t xml:space="preserve"> </w:t>
      </w:r>
      <w:r>
        <w:t xml:space="preserve">Positive takeaways: this work highlights the potential of active management. Preserving the forests that we have is more valuable than planting new forests.</w:t>
      </w:r>
      <w:r>
        <w:t xml:space="preserve"> </w:t>
      </w:r>
      <w:r>
        <w:t xml:space="preserve">Pests and pathogens are driving mortality - may be opportunities for treatment/prevention of spread.</w:t>
      </w:r>
      <w:r>
        <w:t xml:space="preserve"> </w:t>
      </w:r>
      <w:r>
        <w:t xml:space="preserve">Research into natural immunity (ash species in original range of EAB have immunity).</w:t>
      </w:r>
      <w:r>
        <w:t xml:space="preserve"> </w:t>
      </w:r>
      <w:r>
        <w:t xml:space="preserve">Management of deer populations to decrease browsing pressure - deer exclosure shows the importance to maintain an understory.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37" w:name="references"/>
    <w:p>
      <w:pPr>
        <w:pStyle w:val="Heading1"/>
      </w:pPr>
      <w:r>
        <w:t xml:space="preserve">References</w:t>
      </w:r>
    </w:p>
    <w:bookmarkStart w:id="136"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2">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3"/>
    <w:bookmarkStart w:id="85"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4">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5"/>
    <w:bookmarkStart w:id="86"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6"/>
    <w:bookmarkStart w:id="88"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7">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8"/>
    <w:bookmarkStart w:id="90"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9">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0"/>
    <w:bookmarkStart w:id="92"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1">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2"/>
    <w:bookmarkStart w:id="94"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3">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4"/>
    <w:bookmarkStart w:id="96"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5">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6"/>
    <w:bookmarkStart w:id="9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8"/>
    <w:bookmarkStart w:id="100"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9">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0"/>
    <w:bookmarkStart w:id="102"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1">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2"/>
    <w:bookmarkStart w:id="104"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3">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4"/>
    <w:bookmarkStart w:id="106"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5">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6"/>
    <w:bookmarkStart w:id="108"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7">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8"/>
    <w:bookmarkStart w:id="110"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0"/>
    <w:bookmarkStart w:id="112"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1">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2"/>
    <w:bookmarkStart w:id="113"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3"/>
    <w:bookmarkStart w:id="11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5"/>
    <w:bookmarkStart w:id="11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7"/>
    <w:bookmarkStart w:id="119"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18">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19"/>
    <w:bookmarkStart w:id="121"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0">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1"/>
    <w:bookmarkStart w:id="123"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2">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3"/>
    <w:bookmarkStart w:id="125"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4">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5"/>
    <w:bookmarkStart w:id="127"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6">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7"/>
    <w:bookmarkStart w:id="12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2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29"/>
    <w:bookmarkStart w:id="131"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0">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1"/>
    <w:bookmarkStart w:id="133"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2">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3"/>
    <w:bookmarkStart w:id="13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5"/>
    <w:bookmarkEnd w:id="136"/>
    <w:bookmarkEnd w:id="137"/>
    <w:bookmarkStart w:id="138" w:name="supporting-information"/>
    <w:p>
      <w:pPr>
        <w:pStyle w:val="Heading1"/>
      </w:pPr>
      <w:r>
        <w:rPr>
          <w:rStyle w:val="SectionNumber"/>
        </w:rPr>
        <w:t xml:space="preserve">6</w:t>
      </w:r>
      <w:r>
        <w:tab/>
      </w:r>
      <w:r>
        <w:t xml:space="preserve">Supporting Information</w:t>
      </w:r>
    </w:p>
    <w:bookmarkEnd w:id="13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2024-03-29T22:17:57Z</dcterms:created>
  <dcterms:modified xsi:type="dcterms:W3CDTF">2024-03-29T22:17:57Z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